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1.</w:t>
      </w:r>
      <w:r w:rsidR="00F141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следующее распределение прибыли (убытков) ПАО «Мосэнерго» за 2024 год:</w:t>
      </w:r>
    </w:p>
    <w:p w:rsidR="00250304" w:rsidRPr="00F141CF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6"/>
          <w:szCs w:val="6"/>
        </w:rPr>
      </w:pPr>
    </w:p>
    <w:tbl>
      <w:tblPr>
        <w:tblStyle w:val="TableNormal"/>
        <w:tblW w:w="510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19"/>
        <w:gridCol w:w="1884"/>
      </w:tblGrid>
      <w:tr w:rsidTr="00F141CF">
        <w:tblPrEx>
          <w:tblW w:w="5103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rPr>
          <w:trHeight w:val="330"/>
        </w:trPr>
        <w:tc>
          <w:tcPr>
            <w:tcW w:w="3219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3BFF" w:rsidRPr="00D53BFF" w:rsidP="00D53BF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D53BFF">
              <w:rPr>
                <w:b/>
                <w:color w:val="000000"/>
                <w:sz w:val="14"/>
                <w:szCs w:val="14"/>
              </w:rPr>
              <w:t>Наименование статьи</w:t>
            </w:r>
          </w:p>
        </w:tc>
        <w:tc>
          <w:tcPr>
            <w:tcW w:w="1884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3BFF" w:rsidRPr="00D53BFF" w:rsidP="00D53BFF">
            <w:pPr>
              <w:jc w:val="center"/>
              <w:rPr>
                <w:b/>
                <w:color w:val="000000"/>
                <w:sz w:val="14"/>
                <w:szCs w:val="14"/>
              </w:rPr>
            </w:pPr>
            <w:r w:rsidRPr="00D53BFF">
              <w:rPr>
                <w:b/>
                <w:sz w:val="14"/>
                <w:szCs w:val="14"/>
              </w:rPr>
              <w:t>Рублей</w:t>
            </w:r>
          </w:p>
        </w:tc>
      </w:tr>
      <w:tr w:rsidTr="00F141CF">
        <w:tblPrEx>
          <w:tblW w:w="5103" w:type="dxa"/>
          <w:tblInd w:w="0" w:type="dxa"/>
          <w:tblLayout w:type="fixed"/>
          <w:tblLook w:val="01E0"/>
        </w:tblPrEx>
        <w:trPr>
          <w:trHeight w:val="330"/>
        </w:trPr>
        <w:tc>
          <w:tcPr>
            <w:tcW w:w="3219" w:type="dxa"/>
            <w:tcBorders>
              <w:bottom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3BFF" w:rsidRPr="00D53BFF" w:rsidP="00D53BFF">
            <w:pPr>
              <w:jc w:val="both"/>
              <w:rPr>
                <w:b/>
                <w:color w:val="000000"/>
                <w:sz w:val="14"/>
                <w:szCs w:val="14"/>
              </w:rPr>
            </w:pPr>
            <w:r w:rsidRPr="00D53BFF">
              <w:rPr>
                <w:b/>
                <w:color w:val="000000"/>
                <w:sz w:val="14"/>
                <w:szCs w:val="14"/>
              </w:rPr>
              <w:t>Балансовая прибыль (убыток)</w:t>
            </w:r>
          </w:p>
        </w:tc>
        <w:tc>
          <w:tcPr>
            <w:tcW w:w="1884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3BFF" w:rsidRPr="00D53BFF" w:rsidP="00D53BFF">
            <w:pPr>
              <w:tabs>
                <w:tab w:val="left" w:pos="993"/>
              </w:tabs>
              <w:ind w:firstLine="175"/>
              <w:jc w:val="center"/>
              <w:rPr>
                <w:b/>
                <w:color w:val="000000"/>
                <w:sz w:val="14"/>
                <w:szCs w:val="14"/>
                <w:lang w:val="en-US"/>
              </w:rPr>
            </w:pPr>
            <w:r w:rsidRPr="00D53BFF">
              <w:rPr>
                <w:b/>
                <w:color w:val="000000"/>
                <w:sz w:val="14"/>
                <w:szCs w:val="14"/>
              </w:rPr>
              <w:t>10 851 632 196</w:t>
            </w:r>
          </w:p>
        </w:tc>
      </w:tr>
      <w:tr w:rsidTr="00F141CF">
        <w:tblPrEx>
          <w:tblW w:w="5103" w:type="dxa"/>
          <w:tblInd w:w="0" w:type="dxa"/>
          <w:tblLayout w:type="fixed"/>
          <w:tblLook w:val="01E0"/>
        </w:tblPrEx>
        <w:trPr>
          <w:trHeight w:val="330"/>
        </w:trPr>
        <w:tc>
          <w:tcPr>
            <w:tcW w:w="3219" w:type="dxa"/>
            <w:tcBorders>
              <w:bottom w:val="nil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3BFF" w:rsidRPr="00D53BFF" w:rsidP="00D53BFF">
            <w:pPr>
              <w:jc w:val="both"/>
              <w:rPr>
                <w:b/>
                <w:color w:val="000000"/>
                <w:sz w:val="14"/>
                <w:szCs w:val="14"/>
              </w:rPr>
            </w:pPr>
            <w:r w:rsidRPr="00D53BFF">
              <w:rPr>
                <w:b/>
                <w:color w:val="000000"/>
                <w:sz w:val="14"/>
                <w:szCs w:val="14"/>
              </w:rPr>
              <w:t>Распределение прибыли,</w:t>
            </w:r>
          </w:p>
        </w:tc>
        <w:tc>
          <w:tcPr>
            <w:tcW w:w="1884" w:type="dxa"/>
            <w:tcBorders>
              <w:bottom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3BFF" w:rsidRPr="00D53BFF" w:rsidP="00D53BFF">
            <w:pPr>
              <w:tabs>
                <w:tab w:val="left" w:pos="993"/>
              </w:tabs>
              <w:ind w:firstLine="175"/>
              <w:jc w:val="center"/>
              <w:rPr>
                <w:b/>
                <w:color w:val="000000"/>
                <w:sz w:val="14"/>
                <w:szCs w:val="14"/>
                <w:lang w:val="en-US"/>
              </w:rPr>
            </w:pPr>
            <w:r w:rsidRPr="00D53BFF">
              <w:rPr>
                <w:b/>
                <w:color w:val="000000"/>
                <w:sz w:val="14"/>
                <w:szCs w:val="14"/>
              </w:rPr>
              <w:t>10 851 632 196</w:t>
            </w:r>
          </w:p>
        </w:tc>
      </w:tr>
      <w:tr w:rsidTr="00F141CF">
        <w:tblPrEx>
          <w:tblW w:w="5103" w:type="dxa"/>
          <w:tblInd w:w="0" w:type="dxa"/>
          <w:tblLayout w:type="fixed"/>
          <w:tblLook w:val="01E0"/>
        </w:tblPrEx>
        <w:trPr>
          <w:trHeight w:val="74"/>
        </w:trPr>
        <w:tc>
          <w:tcPr>
            <w:tcW w:w="3219" w:type="dxa"/>
            <w:tcBorders>
              <w:top w:val="nil"/>
              <w:bottom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3BFF" w:rsidRPr="00D53BFF" w:rsidP="00D53BFF">
            <w:pPr>
              <w:jc w:val="both"/>
              <w:rPr>
                <w:b/>
                <w:color w:val="000000"/>
                <w:sz w:val="14"/>
                <w:szCs w:val="14"/>
              </w:rPr>
            </w:pPr>
            <w:r w:rsidRPr="00D53BFF">
              <w:rPr>
                <w:b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884" w:type="dxa"/>
            <w:tcBorders>
              <w:top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3BFF" w:rsidRPr="00D53BFF" w:rsidP="00D53BFF">
            <w:pPr>
              <w:tabs>
                <w:tab w:val="left" w:pos="993"/>
              </w:tabs>
              <w:ind w:firstLine="175"/>
              <w:jc w:val="center"/>
              <w:rPr>
                <w:b/>
                <w:color w:val="000000"/>
                <w:sz w:val="14"/>
                <w:szCs w:val="14"/>
                <w:lang w:val="en-US"/>
              </w:rPr>
            </w:pPr>
          </w:p>
        </w:tc>
      </w:tr>
      <w:tr w:rsidTr="00F141CF">
        <w:tblPrEx>
          <w:tblW w:w="5103" w:type="dxa"/>
          <w:tblInd w:w="0" w:type="dxa"/>
          <w:tblLayout w:type="fixed"/>
          <w:tblLook w:val="01E0"/>
        </w:tblPrEx>
        <w:trPr>
          <w:trHeight w:val="70"/>
        </w:trPr>
        <w:tc>
          <w:tcPr>
            <w:tcW w:w="3219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3BFF" w:rsidRPr="00D53BFF" w:rsidP="00D53BFF">
            <w:pPr>
              <w:jc w:val="both"/>
              <w:rPr>
                <w:b/>
                <w:color w:val="000000"/>
                <w:sz w:val="14"/>
                <w:szCs w:val="14"/>
              </w:rPr>
            </w:pPr>
            <w:r w:rsidRPr="00D53BFF">
              <w:rPr>
                <w:b/>
                <w:color w:val="000000"/>
                <w:sz w:val="14"/>
                <w:szCs w:val="14"/>
              </w:rPr>
              <w:t>Резервный фонд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3BFF" w:rsidRPr="00D53BFF" w:rsidP="00D53BFF">
            <w:pPr>
              <w:tabs>
                <w:tab w:val="left" w:pos="993"/>
              </w:tabs>
              <w:ind w:firstLine="175"/>
              <w:jc w:val="center"/>
              <w:rPr>
                <w:b/>
                <w:color w:val="000000"/>
                <w:sz w:val="14"/>
                <w:szCs w:val="14"/>
              </w:rPr>
            </w:pPr>
            <w:r w:rsidRPr="00D53BFF">
              <w:rPr>
                <w:b/>
                <w:color w:val="000000"/>
                <w:sz w:val="14"/>
                <w:szCs w:val="14"/>
              </w:rPr>
              <w:t>-</w:t>
            </w:r>
          </w:p>
        </w:tc>
      </w:tr>
      <w:tr w:rsidTr="00F141CF">
        <w:tblPrEx>
          <w:tblW w:w="5103" w:type="dxa"/>
          <w:tblInd w:w="0" w:type="dxa"/>
          <w:tblLayout w:type="fixed"/>
          <w:tblLook w:val="01E0"/>
        </w:tblPrEx>
        <w:tc>
          <w:tcPr>
            <w:tcW w:w="32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3BFF" w:rsidRPr="00D53BFF" w:rsidP="00D53BFF">
            <w:pPr>
              <w:jc w:val="both"/>
              <w:rPr>
                <w:b/>
                <w:color w:val="000000"/>
                <w:sz w:val="14"/>
                <w:szCs w:val="14"/>
              </w:rPr>
            </w:pPr>
            <w:r w:rsidRPr="00D53BFF">
              <w:rPr>
                <w:b/>
                <w:color w:val="000000"/>
                <w:sz w:val="14"/>
                <w:szCs w:val="14"/>
              </w:rPr>
              <w:t xml:space="preserve">Дивиденды на акции за 2024 год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3BFF" w:rsidRPr="00D53BFF" w:rsidP="00D53BFF">
            <w:pPr>
              <w:tabs>
                <w:tab w:val="left" w:pos="993"/>
              </w:tabs>
              <w:ind w:firstLine="175"/>
              <w:jc w:val="center"/>
              <w:rPr>
                <w:b/>
                <w:color w:val="000000"/>
                <w:sz w:val="14"/>
                <w:szCs w:val="14"/>
              </w:rPr>
            </w:pPr>
            <w:r w:rsidRPr="00D53BFF">
              <w:rPr>
                <w:b/>
                <w:color w:val="000000"/>
                <w:sz w:val="14"/>
                <w:szCs w:val="14"/>
              </w:rPr>
              <w:t>8 985 875 000</w:t>
            </w:r>
          </w:p>
        </w:tc>
      </w:tr>
      <w:tr w:rsidTr="00F141CF">
        <w:tblPrEx>
          <w:tblW w:w="5103" w:type="dxa"/>
          <w:tblInd w:w="0" w:type="dxa"/>
          <w:tblLayout w:type="fixed"/>
          <w:tblLook w:val="01E0"/>
        </w:tblPrEx>
        <w:tc>
          <w:tcPr>
            <w:tcW w:w="3219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3BFF" w:rsidRPr="00D53BFF" w:rsidP="00D53BFF">
            <w:pPr>
              <w:jc w:val="both"/>
              <w:rPr>
                <w:b/>
                <w:color w:val="000000"/>
                <w:sz w:val="14"/>
                <w:szCs w:val="14"/>
              </w:rPr>
            </w:pPr>
            <w:r w:rsidRPr="00D53BFF">
              <w:rPr>
                <w:b/>
                <w:color w:val="000000"/>
                <w:sz w:val="14"/>
                <w:szCs w:val="14"/>
              </w:rPr>
              <w:t>Остается в распоряжении ПАО «Мосэнерго»</w:t>
            </w:r>
          </w:p>
        </w:tc>
        <w:tc>
          <w:tcPr>
            <w:tcW w:w="18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53BFF" w:rsidRPr="00D53BFF" w:rsidP="00D53BFF">
            <w:pPr>
              <w:tabs>
                <w:tab w:val="left" w:pos="993"/>
              </w:tabs>
              <w:ind w:firstLine="175"/>
              <w:jc w:val="center"/>
              <w:rPr>
                <w:b/>
                <w:color w:val="000000"/>
                <w:sz w:val="14"/>
                <w:szCs w:val="14"/>
              </w:rPr>
            </w:pPr>
            <w:r w:rsidRPr="00D53BFF">
              <w:rPr>
                <w:b/>
                <w:color w:val="000000"/>
                <w:sz w:val="14"/>
                <w:szCs w:val="14"/>
              </w:rPr>
              <w:t>1 865 757 196</w:t>
            </w:r>
          </w:p>
        </w:tc>
      </w:tr>
    </w:tbl>
    <w:p w:rsidR="00250304" w:rsidRPr="00F141CF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6"/>
          <w:szCs w:val="6"/>
        </w:rPr>
      </w:pPr>
    </w:p>
    <w:p w:rsidR="00250304" w:rsidRPr="00D53BFF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2.</w:t>
      </w:r>
      <w:r w:rsidR="00F141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Выплатить дивиденды по обыкновенным акциям ПАО «Мосэнерго» по результатам 2024 года в размере 0,22606373615 рубля на одну обыкновенную акцию ПАО «Мосэнерго» в денежной форме в сроки, установленные действующим законодательством Российской Федерации.</w:t>
      </w:r>
    </w:p>
    <w:p w:rsidR="00250304" w:rsidRPr="00D53BFF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3.</w:t>
      </w:r>
      <w:r w:rsidR="00F141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D53BF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Определить дату составления списка лиц, имеющих право на получение дивидендов по обыкновенным акциям ПАО «Мосэнерго» по результатам 2024 года – 08 июля 2025 года (на конец операционного дня).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00498443-6276-4AE6-8B1B-E59A0E2AFA4E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D07F1EAD-8CF5-42CC-921D-822DEE818F72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9">
    <w:name w:val="Normal_9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